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8DE18" w14:textId="77777777" w:rsidR="00FD159C" w:rsidRDefault="00FD159C" w:rsidP="00FD159C">
      <w:pPr>
        <w:pStyle w:val="Kopfzeile"/>
        <w:jc w:val="center"/>
        <w:rPr>
          <w:rStyle w:val="Seitenzahl"/>
        </w:rPr>
      </w:pPr>
      <w:r>
        <w:rPr>
          <w:noProof/>
        </w:rPr>
        <w:drawing>
          <wp:inline distT="0" distB="0" distL="0" distR="0" wp14:anchorId="2DFD8982" wp14:editId="72910F20">
            <wp:extent cx="2242800" cy="752400"/>
            <wp:effectExtent l="0" t="0" r="0" b="0"/>
            <wp:docPr id="3" name="Grafik 3"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ClipArt enthält.&#10;&#10;Automatisch generierte Beschreibung"/>
                    <pic:cNvPicPr/>
                  </pic:nvPicPr>
                  <pic:blipFill>
                    <a:blip r:embed="rId7" cstate="print">
                      <a:extLst>
                        <a:ext uri="{28A0092B-C50C-407E-A947-70E740481C1C}">
                          <a14:useLocalDpi xmlns:a14="http://schemas.microsoft.com/office/drawing/2010/main"/>
                        </a:ext>
                      </a:extLst>
                    </a:blip>
                    <a:stretch>
                      <a:fillRect/>
                    </a:stretch>
                  </pic:blipFill>
                  <pic:spPr>
                    <a:xfrm>
                      <a:off x="0" y="0"/>
                      <a:ext cx="2242800" cy="752400"/>
                    </a:xfrm>
                    <a:prstGeom prst="rect">
                      <a:avLst/>
                    </a:prstGeom>
                  </pic:spPr>
                </pic:pic>
              </a:graphicData>
            </a:graphic>
          </wp:inline>
        </w:drawing>
      </w:r>
    </w:p>
    <w:p w14:paraId="179CF3D9" w14:textId="77777777" w:rsidR="00FD159C" w:rsidRDefault="00FD159C" w:rsidP="00FD159C">
      <w:pPr>
        <w:pStyle w:val="Kopfzeile"/>
        <w:rPr>
          <w:rStyle w:val="Seitenzahl"/>
        </w:rPr>
      </w:pPr>
    </w:p>
    <w:p w14:paraId="7B4376FD" w14:textId="77777777" w:rsidR="00FD159C" w:rsidRDefault="00FD159C" w:rsidP="00FD159C">
      <w:pPr>
        <w:pStyle w:val="Kopfzeile"/>
        <w:rPr>
          <w:rStyle w:val="Seitenzahl"/>
          <w:rFonts w:ascii="NewsGotT" w:hAnsi="NewsGotT"/>
          <w:b/>
          <w:sz w:val="28"/>
          <w:szCs w:val="28"/>
        </w:rPr>
      </w:pPr>
    </w:p>
    <w:p w14:paraId="086DA3DC" w14:textId="77777777" w:rsidR="00BC6DEA" w:rsidRPr="00CE4B33" w:rsidRDefault="00BC6DEA" w:rsidP="00BC6DEA">
      <w:pPr>
        <w:pStyle w:val="Kopfzeile"/>
        <w:rPr>
          <w:rStyle w:val="Seitenzahl"/>
          <w:rFonts w:ascii="Arial" w:hAnsi="Arial" w:cs="Arial"/>
          <w:b/>
          <w:color w:val="000000" w:themeColor="text1"/>
          <w:sz w:val="32"/>
          <w:szCs w:val="32"/>
        </w:rPr>
      </w:pPr>
      <w:r w:rsidRPr="00CE4B33">
        <w:rPr>
          <w:rStyle w:val="Seitenzahl"/>
          <w:rFonts w:ascii="Arial" w:hAnsi="Arial" w:cs="Arial"/>
          <w:b/>
          <w:color w:val="000000" w:themeColor="text1"/>
          <w:sz w:val="32"/>
          <w:szCs w:val="32"/>
        </w:rPr>
        <w:t xml:space="preserve">Pressemitteilung </w:t>
      </w:r>
    </w:p>
    <w:p w14:paraId="7133E7F1" w14:textId="77777777" w:rsidR="00BC6DEA" w:rsidRPr="00CE4B33" w:rsidRDefault="00BC6DEA" w:rsidP="00BC6DEA">
      <w:pPr>
        <w:pStyle w:val="Kopfzeile"/>
        <w:rPr>
          <w:rStyle w:val="Seitenzahl"/>
          <w:rFonts w:ascii="Arial" w:hAnsi="Arial" w:cs="Arial"/>
          <w:bCs/>
          <w:color w:val="000000" w:themeColor="text1"/>
        </w:rPr>
      </w:pPr>
      <w:r w:rsidRPr="001C26D1">
        <w:rPr>
          <w:rStyle w:val="Seitenzahl"/>
          <w:rFonts w:ascii="Arial" w:hAnsi="Arial" w:cs="Arial"/>
          <w:bCs/>
          <w:color w:val="000000" w:themeColor="text1"/>
        </w:rPr>
        <w:t>August 2026</w:t>
      </w:r>
    </w:p>
    <w:p w14:paraId="6F55EB27" w14:textId="77777777" w:rsidR="00BC6DEA" w:rsidRDefault="00BC6DEA" w:rsidP="00BC6DEA">
      <w:pPr>
        <w:rPr>
          <w:rFonts w:ascii="Arial" w:hAnsi="Arial" w:cs="Arial"/>
        </w:rPr>
      </w:pPr>
      <w:r>
        <w:rPr>
          <w:rFonts w:ascii="Arial" w:hAnsi="Arial" w:cs="Arial"/>
          <w:b/>
          <w:bCs/>
          <w:color w:val="000000" w:themeColor="text1"/>
          <w:sz w:val="28"/>
          <w:szCs w:val="28"/>
        </w:rPr>
        <w:t xml:space="preserve"> </w:t>
      </w:r>
      <w:r>
        <w:rPr>
          <w:rFonts w:ascii="Arial" w:hAnsi="Arial" w:cs="Arial"/>
          <w:b/>
          <w:bCs/>
          <w:color w:val="000000" w:themeColor="text1"/>
          <w:sz w:val="28"/>
          <w:szCs w:val="28"/>
        </w:rPr>
        <w:br/>
      </w:r>
    </w:p>
    <w:p w14:paraId="4E2B38DE" w14:textId="77777777" w:rsidR="00BC6DEA" w:rsidRDefault="00BC6DEA" w:rsidP="00BC6DEA">
      <w:pPr>
        <w:rPr>
          <w:rFonts w:ascii="Arial" w:hAnsi="Arial" w:cs="Arial"/>
        </w:rPr>
      </w:pPr>
    </w:p>
    <w:p w14:paraId="6B3186AB" w14:textId="77777777" w:rsidR="00BC6DEA" w:rsidRPr="000948CC" w:rsidRDefault="00BC6DEA" w:rsidP="00BC6DEA">
      <w:pPr>
        <w:spacing w:line="360" w:lineRule="auto"/>
        <w:rPr>
          <w:rFonts w:ascii="Arial" w:hAnsi="Arial" w:cs="Arial"/>
          <w:b/>
          <w:bCs/>
          <w:sz w:val="22"/>
          <w:szCs w:val="22"/>
        </w:rPr>
      </w:pPr>
      <w:r w:rsidRPr="000948CC">
        <w:rPr>
          <w:rFonts w:ascii="Arial" w:hAnsi="Arial" w:cs="Arial"/>
          <w:b/>
          <w:bCs/>
          <w:sz w:val="28"/>
          <w:szCs w:val="28"/>
        </w:rPr>
        <w:t>Mehr Raum für Renovierungen</w:t>
      </w:r>
      <w:r w:rsidRPr="000948CC">
        <w:rPr>
          <w:rFonts w:ascii="Arial" w:hAnsi="Arial" w:cs="Arial"/>
          <w:b/>
          <w:bCs/>
          <w:sz w:val="28"/>
          <w:szCs w:val="28"/>
        </w:rPr>
        <w:br/>
      </w:r>
      <w:r w:rsidRPr="000948CC">
        <w:rPr>
          <w:rFonts w:ascii="Arial" w:hAnsi="Arial" w:cs="Arial"/>
          <w:b/>
          <w:bCs/>
          <w:sz w:val="22"/>
          <w:szCs w:val="22"/>
        </w:rPr>
        <w:t xml:space="preserve">Neue Aluminium-Eckzarge für </w:t>
      </w:r>
      <w:proofErr w:type="spellStart"/>
      <w:r w:rsidRPr="000948CC">
        <w:rPr>
          <w:rFonts w:ascii="Arial" w:hAnsi="Arial" w:cs="Arial"/>
          <w:b/>
          <w:bCs/>
          <w:sz w:val="22"/>
          <w:szCs w:val="22"/>
        </w:rPr>
        <w:t>NovoFire</w:t>
      </w:r>
      <w:proofErr w:type="spellEnd"/>
      <w:r w:rsidRPr="000948CC">
        <w:rPr>
          <w:rFonts w:ascii="Arial" w:hAnsi="Arial" w:cs="Arial"/>
          <w:b/>
          <w:bCs/>
          <w:sz w:val="22"/>
          <w:szCs w:val="22"/>
        </w:rPr>
        <w:t xml:space="preserve"> Alu T30/RS schafft mehr lichten </w:t>
      </w:r>
    </w:p>
    <w:p w14:paraId="66084F25" w14:textId="77777777" w:rsidR="00BC6DEA" w:rsidRPr="000948CC" w:rsidRDefault="00BC6DEA" w:rsidP="00BC6DEA">
      <w:pPr>
        <w:spacing w:line="360" w:lineRule="auto"/>
        <w:rPr>
          <w:rFonts w:ascii="Arial" w:hAnsi="Arial" w:cs="Arial"/>
          <w:b/>
          <w:bCs/>
          <w:sz w:val="22"/>
          <w:szCs w:val="22"/>
        </w:rPr>
      </w:pPr>
      <w:r w:rsidRPr="000948CC">
        <w:rPr>
          <w:rFonts w:ascii="Arial" w:hAnsi="Arial" w:cs="Arial"/>
          <w:b/>
          <w:bCs/>
          <w:sz w:val="22"/>
          <w:szCs w:val="22"/>
        </w:rPr>
        <w:t>Durchgang im Bestand</w:t>
      </w:r>
    </w:p>
    <w:p w14:paraId="67D1368D" w14:textId="35B6F5C5" w:rsidR="00BC6DEA" w:rsidRPr="000948CC" w:rsidRDefault="00BC6DEA" w:rsidP="00BC6DEA">
      <w:pPr>
        <w:spacing w:line="360" w:lineRule="auto"/>
        <w:rPr>
          <w:rFonts w:ascii="Arial" w:hAnsi="Arial" w:cs="Arial"/>
          <w:i/>
          <w:iCs/>
          <w:sz w:val="22"/>
          <w:szCs w:val="22"/>
        </w:rPr>
      </w:pPr>
      <w:r w:rsidRPr="000948CC">
        <w:rPr>
          <w:rFonts w:ascii="Arial" w:hAnsi="Arial" w:cs="Arial"/>
          <w:b/>
          <w:bCs/>
          <w:sz w:val="22"/>
          <w:szCs w:val="22"/>
        </w:rPr>
        <w:br/>
      </w:r>
      <w:bookmarkStart w:id="0" w:name="_Hlk238050549"/>
      <w:r w:rsidRPr="000948CC">
        <w:rPr>
          <w:rFonts w:ascii="Arial" w:hAnsi="Arial" w:cs="Arial"/>
          <w:i/>
          <w:iCs/>
          <w:sz w:val="22"/>
          <w:szCs w:val="22"/>
        </w:rPr>
        <w:t xml:space="preserve">Novoferm erweitert sein Brandschutzsystem </w:t>
      </w:r>
      <w:proofErr w:type="spellStart"/>
      <w:r w:rsidRPr="000948CC">
        <w:rPr>
          <w:rFonts w:ascii="Arial" w:hAnsi="Arial" w:cs="Arial"/>
          <w:i/>
          <w:iCs/>
          <w:sz w:val="22"/>
          <w:szCs w:val="22"/>
        </w:rPr>
        <w:t>NovoFire</w:t>
      </w:r>
      <w:proofErr w:type="spellEnd"/>
      <w:r w:rsidRPr="000948CC">
        <w:rPr>
          <w:rFonts w:ascii="Arial" w:hAnsi="Arial" w:cs="Arial"/>
          <w:i/>
          <w:iCs/>
          <w:sz w:val="22"/>
          <w:szCs w:val="22"/>
        </w:rPr>
        <w:t xml:space="preserve"> Alu T30/RS für Aluminium-Rohrrahmentüren um eine neue Aluminium-Eckzarge. Die speziell für Renovierungen entwickelte Lösung ermöglicht bei der Modernisierung von Brand- und Rauchschutz</w:t>
      </w:r>
      <w:r>
        <w:rPr>
          <w:rFonts w:ascii="Arial" w:hAnsi="Arial" w:cs="Arial"/>
          <w:i/>
          <w:iCs/>
          <w:sz w:val="22"/>
          <w:szCs w:val="22"/>
        </w:rPr>
        <w:t>-</w:t>
      </w:r>
      <w:r w:rsidRPr="000948CC">
        <w:rPr>
          <w:rFonts w:ascii="Arial" w:hAnsi="Arial" w:cs="Arial"/>
          <w:i/>
          <w:iCs/>
          <w:sz w:val="22"/>
          <w:szCs w:val="22"/>
        </w:rPr>
        <w:t>abschlüssen einen größeren lichten Durchgang bei gleicher Maueröffnung. Gleichzeitig verbindet sie eine durchgängige Systemoptik mit vielfältigen Planungs- und Gestaltungs</w:t>
      </w:r>
      <w:r>
        <w:rPr>
          <w:rFonts w:ascii="Arial" w:hAnsi="Arial" w:cs="Arial"/>
          <w:i/>
          <w:iCs/>
          <w:sz w:val="22"/>
          <w:szCs w:val="22"/>
        </w:rPr>
        <w:t>-</w:t>
      </w:r>
      <w:r w:rsidRPr="000948CC">
        <w:rPr>
          <w:rFonts w:ascii="Arial" w:hAnsi="Arial" w:cs="Arial"/>
          <w:i/>
          <w:iCs/>
          <w:sz w:val="22"/>
          <w:szCs w:val="22"/>
        </w:rPr>
        <w:t xml:space="preserve">möglichkeiten. Die Neuheit wurde auf der </w:t>
      </w:r>
      <w:r w:rsidR="00534696">
        <w:rPr>
          <w:rFonts w:ascii="Arial" w:hAnsi="Arial" w:cs="Arial"/>
          <w:i/>
          <w:iCs/>
          <w:sz w:val="22"/>
          <w:szCs w:val="22"/>
        </w:rPr>
        <w:t xml:space="preserve">Fachmesse </w:t>
      </w:r>
      <w:proofErr w:type="spellStart"/>
      <w:r w:rsidRPr="000948CC">
        <w:rPr>
          <w:rFonts w:ascii="Arial" w:hAnsi="Arial" w:cs="Arial"/>
          <w:i/>
          <w:iCs/>
          <w:sz w:val="22"/>
          <w:szCs w:val="22"/>
        </w:rPr>
        <w:t>FeuerTrutz</w:t>
      </w:r>
      <w:proofErr w:type="spellEnd"/>
      <w:r w:rsidR="00534696">
        <w:rPr>
          <w:rFonts w:ascii="Arial" w:hAnsi="Arial" w:cs="Arial"/>
          <w:i/>
          <w:iCs/>
          <w:sz w:val="22"/>
          <w:szCs w:val="22"/>
        </w:rPr>
        <w:t xml:space="preserve"> </w:t>
      </w:r>
      <w:r w:rsidRPr="000948CC">
        <w:rPr>
          <w:rFonts w:ascii="Arial" w:hAnsi="Arial" w:cs="Arial"/>
          <w:i/>
          <w:iCs/>
          <w:sz w:val="22"/>
          <w:szCs w:val="22"/>
        </w:rPr>
        <w:t>in Nürnberg vorgestellt.</w:t>
      </w:r>
    </w:p>
    <w:bookmarkEnd w:id="0"/>
    <w:p w14:paraId="60269F94" w14:textId="77777777" w:rsidR="00BC6DEA" w:rsidRPr="000948CC" w:rsidRDefault="00BC6DEA" w:rsidP="00BC6DEA">
      <w:pPr>
        <w:spacing w:line="360" w:lineRule="auto"/>
        <w:rPr>
          <w:rFonts w:ascii="Arial" w:hAnsi="Arial" w:cs="Arial"/>
          <w:b/>
          <w:bCs/>
          <w:sz w:val="22"/>
          <w:szCs w:val="22"/>
        </w:rPr>
      </w:pPr>
    </w:p>
    <w:p w14:paraId="44C4E13C" w14:textId="77777777" w:rsidR="00BC6DEA" w:rsidRPr="000948CC" w:rsidRDefault="00BC6DEA" w:rsidP="00BC6DEA">
      <w:pPr>
        <w:spacing w:line="360" w:lineRule="auto"/>
        <w:rPr>
          <w:rFonts w:ascii="Arial" w:hAnsi="Arial" w:cs="Arial"/>
          <w:b/>
          <w:bCs/>
          <w:sz w:val="22"/>
          <w:szCs w:val="22"/>
        </w:rPr>
      </w:pPr>
      <w:r w:rsidRPr="000948CC">
        <w:rPr>
          <w:rFonts w:ascii="Arial" w:hAnsi="Arial" w:cs="Arial"/>
          <w:b/>
          <w:bCs/>
          <w:sz w:val="22"/>
          <w:szCs w:val="22"/>
        </w:rPr>
        <w:t>Mehr Bewegungsfreiheit bei gleicher Maueröffnung</w:t>
      </w:r>
    </w:p>
    <w:p w14:paraId="500186EC" w14:textId="77777777" w:rsidR="00BC6DEA" w:rsidRPr="000948CC" w:rsidRDefault="00BC6DEA" w:rsidP="00BC6DEA">
      <w:pPr>
        <w:spacing w:line="360" w:lineRule="auto"/>
        <w:rPr>
          <w:rFonts w:ascii="Arial" w:hAnsi="Arial" w:cs="Arial"/>
          <w:sz w:val="22"/>
          <w:szCs w:val="22"/>
        </w:rPr>
      </w:pPr>
      <w:r w:rsidRPr="000948CC">
        <w:rPr>
          <w:rFonts w:ascii="Arial" w:hAnsi="Arial" w:cs="Arial"/>
          <w:sz w:val="22"/>
          <w:szCs w:val="22"/>
        </w:rPr>
        <w:t xml:space="preserve">Ob in Treppenhäusern von Wohn- und Gewerbebauten oder bei der Umnutzung ehemaliger Industriegebäude zu Loft-Wohnungen: Beim Austausch älterer Brandschutztüren – meist Stahlblechkonstruktionen – gegen moderne Aluminium-Rohrrahmentüren verringert sich bei Einsatz herkömmlicher Blockzargen häufig die nutzbare Durchgangsbreite. Die neue Aluminium-Eckzarge für </w:t>
      </w:r>
      <w:proofErr w:type="spellStart"/>
      <w:r w:rsidRPr="000948CC">
        <w:rPr>
          <w:rFonts w:ascii="Arial" w:hAnsi="Arial" w:cs="Arial"/>
          <w:sz w:val="22"/>
          <w:szCs w:val="22"/>
        </w:rPr>
        <w:t>NovoFire</w:t>
      </w:r>
      <w:proofErr w:type="spellEnd"/>
      <w:r w:rsidRPr="000948CC">
        <w:rPr>
          <w:rFonts w:ascii="Arial" w:hAnsi="Arial" w:cs="Arial"/>
          <w:sz w:val="22"/>
          <w:szCs w:val="22"/>
        </w:rPr>
        <w:t xml:space="preserve"> Alu T30/RS setzt genau hier an: Sie ermöglicht bei gleicher Maueröffnung bis zu 70 mm mehr lichten Durchgang. Dadurch bleibt die vorhandene Bausubstanz erhalten, der Montageaufwand reduziert sich durch die Nutzung der bestehenden Wandöffnung deutlich und die Gebäudenutzer profitieren von mehr Bewegungsfreiheit und Komfort.</w:t>
      </w:r>
    </w:p>
    <w:p w14:paraId="65A1FA8D" w14:textId="77777777" w:rsidR="00BC6DEA" w:rsidRPr="000948CC" w:rsidRDefault="00BC6DEA" w:rsidP="00BC6DEA">
      <w:pPr>
        <w:spacing w:line="360" w:lineRule="auto"/>
        <w:rPr>
          <w:rFonts w:ascii="Arial" w:hAnsi="Arial" w:cs="Arial"/>
          <w:b/>
          <w:bCs/>
          <w:sz w:val="22"/>
          <w:szCs w:val="22"/>
        </w:rPr>
      </w:pPr>
    </w:p>
    <w:p w14:paraId="1215E5DE" w14:textId="77777777" w:rsidR="00BC6DEA" w:rsidRPr="000948CC" w:rsidRDefault="00BC6DEA" w:rsidP="00BC6DEA">
      <w:pPr>
        <w:spacing w:line="360" w:lineRule="auto"/>
        <w:rPr>
          <w:rFonts w:ascii="Arial" w:hAnsi="Arial" w:cs="Arial"/>
          <w:b/>
          <w:bCs/>
          <w:sz w:val="22"/>
          <w:szCs w:val="22"/>
        </w:rPr>
      </w:pPr>
      <w:r w:rsidRPr="000948CC">
        <w:rPr>
          <w:rFonts w:ascii="Arial" w:hAnsi="Arial" w:cs="Arial"/>
          <w:b/>
          <w:bCs/>
          <w:sz w:val="22"/>
          <w:szCs w:val="22"/>
        </w:rPr>
        <w:t>Geprüfte Systemlösung für den Objektbau</w:t>
      </w:r>
    </w:p>
    <w:p w14:paraId="6D2025AD" w14:textId="77777777" w:rsidR="00BC6DEA" w:rsidRPr="000948CC" w:rsidRDefault="00BC6DEA" w:rsidP="00BC6DEA">
      <w:pPr>
        <w:spacing w:line="360" w:lineRule="auto"/>
        <w:rPr>
          <w:rFonts w:ascii="Arial" w:hAnsi="Arial" w:cs="Arial"/>
          <w:b/>
          <w:bCs/>
          <w:sz w:val="22"/>
          <w:szCs w:val="22"/>
        </w:rPr>
      </w:pPr>
      <w:r w:rsidRPr="000948CC">
        <w:rPr>
          <w:rFonts w:ascii="Arial" w:hAnsi="Arial" w:cs="Arial"/>
          <w:sz w:val="22"/>
          <w:szCs w:val="22"/>
        </w:rPr>
        <w:t xml:space="preserve">Die Produktneuheit erfüllt die Anforderungen an Rauchdichtigkeit nach DIN 18095 sowie an den Feuerwiderstand T30/F30 nach DIN 4102 und bietet damit eine normgerechte und sichere Grundlage für unterschiedlichste Anforderungen im Objektbau. Als Bestandteil des aufeinander abgestimmten Novoferm Systems ist sie für ein- und zweiflügelige Ausführungen erhältlich und lässt sich flexibel mit </w:t>
      </w:r>
      <w:proofErr w:type="spellStart"/>
      <w:r w:rsidRPr="000948CC">
        <w:rPr>
          <w:rFonts w:ascii="Arial" w:hAnsi="Arial" w:cs="Arial"/>
          <w:sz w:val="22"/>
          <w:szCs w:val="22"/>
        </w:rPr>
        <w:t>Obentürschließern</w:t>
      </w:r>
      <w:proofErr w:type="spellEnd"/>
      <w:r w:rsidRPr="000948CC">
        <w:rPr>
          <w:rFonts w:ascii="Arial" w:hAnsi="Arial" w:cs="Arial"/>
          <w:sz w:val="22"/>
          <w:szCs w:val="22"/>
        </w:rPr>
        <w:t>, E-Öffnern sowie Anti-Panik-Funktionen nach DIN EN 179 bzw. DIN EN 1125 kombinieren. Optional stehen zudem zeitverzögert absenkbare Bodendichtungen zur Verfügung.</w:t>
      </w:r>
    </w:p>
    <w:p w14:paraId="05524840" w14:textId="77777777" w:rsidR="00BC6DEA" w:rsidRPr="000948CC" w:rsidRDefault="00BC6DEA" w:rsidP="00BC6DEA">
      <w:pPr>
        <w:spacing w:line="360" w:lineRule="auto"/>
        <w:rPr>
          <w:rFonts w:ascii="Arial" w:hAnsi="Arial" w:cs="Arial"/>
          <w:b/>
          <w:bCs/>
          <w:sz w:val="22"/>
          <w:szCs w:val="22"/>
        </w:rPr>
      </w:pPr>
    </w:p>
    <w:p w14:paraId="40AA7007" w14:textId="77777777" w:rsidR="00BC6DEA" w:rsidRPr="000948CC" w:rsidRDefault="00BC6DEA" w:rsidP="00BC6DEA">
      <w:pPr>
        <w:spacing w:line="360" w:lineRule="auto"/>
        <w:rPr>
          <w:rFonts w:ascii="Arial" w:hAnsi="Arial" w:cs="Arial"/>
          <w:b/>
          <w:bCs/>
          <w:sz w:val="22"/>
          <w:szCs w:val="22"/>
        </w:rPr>
      </w:pPr>
      <w:r w:rsidRPr="000948CC">
        <w:rPr>
          <w:rFonts w:ascii="Arial" w:hAnsi="Arial" w:cs="Arial"/>
          <w:b/>
          <w:bCs/>
          <w:sz w:val="22"/>
          <w:szCs w:val="22"/>
        </w:rPr>
        <w:t>Einheitliches Erscheinungsbild mit hoher Gestaltungsfreiheit</w:t>
      </w:r>
    </w:p>
    <w:p w14:paraId="65989FE5" w14:textId="77777777" w:rsidR="00BC6DEA" w:rsidRPr="000948CC" w:rsidRDefault="00BC6DEA" w:rsidP="00BC6DEA">
      <w:pPr>
        <w:spacing w:line="360" w:lineRule="auto"/>
        <w:rPr>
          <w:rFonts w:ascii="Arial" w:hAnsi="Arial" w:cs="Arial"/>
          <w:sz w:val="22"/>
          <w:szCs w:val="22"/>
        </w:rPr>
      </w:pPr>
      <w:r w:rsidRPr="000948CC">
        <w:rPr>
          <w:rFonts w:ascii="Arial" w:hAnsi="Arial" w:cs="Arial"/>
          <w:sz w:val="22"/>
          <w:szCs w:val="22"/>
        </w:rPr>
        <w:t>Neben den funktionalen Eigenschaften erfüllt die neue Aluminium-Eckzarge auch hohe architektonische Ansprüche. Aluminium-Zarge und Aluminium-Tür bilden ein durchgängiges System mit durchgehende Ansichtsgleichheit. Flächenbündig nebeneinanderliegende Profile sowie abgestimmte Oberflächen von Tür und Zarge – beispielsweise in Eloxal-Ausführung – bieten vielfältige Möglichkeiten für eine anspruchsvolle Objektgestaltung.</w:t>
      </w:r>
    </w:p>
    <w:p w14:paraId="2B3B0EDA" w14:textId="77777777" w:rsidR="00BC6DEA" w:rsidRPr="000948CC" w:rsidRDefault="00BC6DEA" w:rsidP="00BC6DEA">
      <w:pPr>
        <w:spacing w:line="360" w:lineRule="auto"/>
        <w:rPr>
          <w:rFonts w:ascii="Arial" w:hAnsi="Arial" w:cs="Arial"/>
          <w:b/>
          <w:bCs/>
          <w:sz w:val="22"/>
          <w:szCs w:val="22"/>
        </w:rPr>
      </w:pPr>
    </w:p>
    <w:p w14:paraId="13B581F0" w14:textId="77777777" w:rsidR="00BC6DEA" w:rsidRPr="00FA3456" w:rsidRDefault="00BC6DEA" w:rsidP="00BC6DEA">
      <w:pPr>
        <w:spacing w:line="360" w:lineRule="auto"/>
        <w:rPr>
          <w:rFonts w:ascii="Arial" w:hAnsi="Arial" w:cs="Arial"/>
          <w:color w:val="000000" w:themeColor="text1"/>
          <w:sz w:val="22"/>
          <w:szCs w:val="22"/>
        </w:rPr>
      </w:pPr>
      <w:r w:rsidRPr="00FA3456">
        <w:rPr>
          <w:rFonts w:ascii="Arial" w:hAnsi="Arial" w:cs="Arial"/>
          <w:color w:val="000000" w:themeColor="text1"/>
          <w:sz w:val="22"/>
          <w:szCs w:val="22"/>
        </w:rPr>
        <w:t xml:space="preserve">Weitere Informationen unter </w:t>
      </w:r>
      <w:hyperlink r:id="rId8" w:history="1">
        <w:r w:rsidRPr="00055BB4">
          <w:rPr>
            <w:rStyle w:val="Hyperlink"/>
            <w:rFonts w:ascii="Arial" w:hAnsi="Arial" w:cs="Arial"/>
            <w:sz w:val="22"/>
            <w:szCs w:val="22"/>
          </w:rPr>
          <w:t>www.novoferm.de</w:t>
        </w:r>
      </w:hyperlink>
      <w:r>
        <w:rPr>
          <w:rFonts w:ascii="Arial" w:hAnsi="Arial" w:cs="Arial"/>
          <w:color w:val="000000" w:themeColor="text1"/>
          <w:sz w:val="22"/>
          <w:szCs w:val="22"/>
        </w:rPr>
        <w:t xml:space="preserve"> </w:t>
      </w:r>
    </w:p>
    <w:p w14:paraId="35468544" w14:textId="77777777" w:rsidR="00BC6DEA" w:rsidRPr="00A70A5E" w:rsidRDefault="00BC6DEA" w:rsidP="00BC6DEA">
      <w:pPr>
        <w:spacing w:line="360" w:lineRule="auto"/>
        <w:rPr>
          <w:rFonts w:ascii="Arial" w:hAnsi="Arial" w:cs="Arial"/>
          <w:color w:val="000000" w:themeColor="text1"/>
          <w:sz w:val="22"/>
          <w:szCs w:val="22"/>
        </w:rPr>
      </w:pPr>
    </w:p>
    <w:p w14:paraId="6D735A91" w14:textId="28F41F39" w:rsidR="00BC6DEA" w:rsidRPr="00093804" w:rsidRDefault="00BC6DEA" w:rsidP="00BC6DEA">
      <w:pPr>
        <w:spacing w:line="360" w:lineRule="auto"/>
        <w:rPr>
          <w:rFonts w:ascii="Arial" w:hAnsi="Arial" w:cs="Arial"/>
          <w:color w:val="000000"/>
          <w:sz w:val="20"/>
          <w:szCs w:val="20"/>
        </w:rPr>
      </w:pPr>
      <w:r w:rsidRPr="00093804">
        <w:rPr>
          <w:rFonts w:ascii="Arial" w:hAnsi="Arial" w:cs="Arial"/>
          <w:color w:val="000000"/>
          <w:sz w:val="20"/>
          <w:szCs w:val="20"/>
        </w:rPr>
        <w:t xml:space="preserve">Zeichen (inklusive Leerzeichen): </w:t>
      </w:r>
      <w:r w:rsidRPr="001C26D1">
        <w:rPr>
          <w:rFonts w:ascii="Arial" w:hAnsi="Arial" w:cs="Arial"/>
          <w:color w:val="000000"/>
          <w:sz w:val="20"/>
          <w:szCs w:val="20"/>
        </w:rPr>
        <w:t>2.4</w:t>
      </w:r>
      <w:r w:rsidR="001C26D1">
        <w:rPr>
          <w:rFonts w:ascii="Arial" w:hAnsi="Arial" w:cs="Arial"/>
          <w:color w:val="000000"/>
          <w:sz w:val="20"/>
          <w:szCs w:val="20"/>
        </w:rPr>
        <w:t>81</w:t>
      </w:r>
    </w:p>
    <w:p w14:paraId="7D6656D9" w14:textId="77777777" w:rsidR="00BC6DEA" w:rsidRDefault="00BC6DEA" w:rsidP="00BC6DEA">
      <w:pPr>
        <w:spacing w:line="360" w:lineRule="auto"/>
        <w:rPr>
          <w:rFonts w:ascii="Arial" w:hAnsi="Arial" w:cs="Arial"/>
          <w:b/>
          <w:bCs/>
          <w:color w:val="000000" w:themeColor="text1"/>
        </w:rPr>
      </w:pPr>
    </w:p>
    <w:p w14:paraId="338E4E62" w14:textId="77777777" w:rsidR="00BC6DEA" w:rsidRPr="00F01ED0" w:rsidRDefault="00BC6DEA" w:rsidP="00BC6DEA">
      <w:pPr>
        <w:spacing w:line="360" w:lineRule="auto"/>
        <w:rPr>
          <w:rFonts w:ascii="Arial" w:hAnsi="Arial" w:cs="Arial"/>
          <w:b/>
          <w:bCs/>
          <w:color w:val="000000" w:themeColor="text1"/>
          <w:sz w:val="22"/>
          <w:szCs w:val="22"/>
        </w:rPr>
      </w:pPr>
      <w:r w:rsidRPr="00F01ED0">
        <w:rPr>
          <w:rFonts w:ascii="Arial" w:hAnsi="Arial" w:cs="Arial"/>
          <w:b/>
          <w:bCs/>
          <w:color w:val="000000" w:themeColor="text1"/>
          <w:sz w:val="22"/>
          <w:szCs w:val="22"/>
        </w:rPr>
        <w:t>Über Novoferm</w:t>
      </w:r>
    </w:p>
    <w:p w14:paraId="53E73A09" w14:textId="3BB225F7" w:rsidR="00BC6DEA" w:rsidRPr="001C26D1" w:rsidRDefault="001C26D1" w:rsidP="00BC6DEA">
      <w:pPr>
        <w:spacing w:line="360" w:lineRule="auto"/>
        <w:rPr>
          <w:rFonts w:ascii="Arial" w:hAnsi="Arial" w:cs="Arial"/>
          <w:b/>
          <w:bCs/>
          <w:color w:val="000000" w:themeColor="text1"/>
          <w:sz w:val="20"/>
          <w:szCs w:val="20"/>
        </w:rPr>
      </w:pPr>
      <w:r w:rsidRPr="001C26D1">
        <w:rPr>
          <w:rFonts w:ascii="Arial" w:hAnsi="Arial" w:cs="Arial"/>
          <w:color w:val="000000"/>
          <w:sz w:val="20"/>
          <w:szCs w:val="20"/>
        </w:rPr>
        <w:t>Novoferm ist ein international führendes Unternehmen für Tür- und Torlösungen sowie Verladesysteme.</w:t>
      </w:r>
      <w:r w:rsidR="00BC6DEA" w:rsidRPr="00F01ED0">
        <w:rPr>
          <w:rFonts w:ascii="Arial" w:hAnsi="Arial" w:cs="Arial"/>
          <w:color w:val="000000"/>
          <w:sz w:val="20"/>
          <w:szCs w:val="20"/>
        </w:rPr>
        <w:t xml:space="preserve"> Das Unternehmen wurde 1955 als </w:t>
      </w:r>
      <w:proofErr w:type="spellStart"/>
      <w:r w:rsidR="00BC6DEA" w:rsidRPr="00F01ED0">
        <w:rPr>
          <w:rFonts w:ascii="Arial" w:hAnsi="Arial" w:cs="Arial"/>
          <w:color w:val="000000"/>
          <w:sz w:val="20"/>
          <w:szCs w:val="20"/>
        </w:rPr>
        <w:t>Isselwerk</w:t>
      </w:r>
      <w:proofErr w:type="spellEnd"/>
      <w:r w:rsidR="00BC6DEA" w:rsidRPr="00F01ED0">
        <w:rPr>
          <w:rFonts w:ascii="Arial" w:hAnsi="Arial" w:cs="Arial"/>
          <w:color w:val="000000"/>
          <w:sz w:val="20"/>
          <w:szCs w:val="20"/>
        </w:rPr>
        <w:t xml:space="preserve"> Werth GmbH am Niederrhein gegründet und gehört seit 2003 zur japanischen</w:t>
      </w:r>
      <w:r w:rsidR="00BC6DEA" w:rsidRPr="00F01ED0">
        <w:rPr>
          <w:rStyle w:val="apple-converted-space"/>
          <w:rFonts w:ascii="Arial" w:hAnsi="Arial" w:cs="Arial"/>
          <w:color w:val="000000"/>
          <w:sz w:val="20"/>
          <w:szCs w:val="20"/>
        </w:rPr>
        <w:t> </w:t>
      </w:r>
      <w:proofErr w:type="spellStart"/>
      <w:r w:rsidR="00BC6DEA" w:rsidRPr="00F01ED0">
        <w:rPr>
          <w:rFonts w:ascii="Arial" w:hAnsi="Arial" w:cs="Arial"/>
          <w:color w:val="101010"/>
          <w:sz w:val="20"/>
          <w:szCs w:val="20"/>
          <w:shd w:val="clear" w:color="auto" w:fill="FFFFFF"/>
        </w:rPr>
        <w:t>Sanwa</w:t>
      </w:r>
      <w:proofErr w:type="spellEnd"/>
      <w:r w:rsidR="00BC6DEA" w:rsidRPr="00F01ED0">
        <w:rPr>
          <w:rFonts w:ascii="Arial" w:hAnsi="Arial" w:cs="Arial"/>
          <w:color w:val="101010"/>
          <w:sz w:val="20"/>
          <w:szCs w:val="20"/>
          <w:shd w:val="clear" w:color="auto" w:fill="FFFFFF"/>
        </w:rPr>
        <w:t xml:space="preserve"> Group (im Besitz der </w:t>
      </w:r>
      <w:proofErr w:type="spellStart"/>
      <w:r w:rsidR="00BC6DEA" w:rsidRPr="00F01ED0">
        <w:rPr>
          <w:rFonts w:ascii="Arial" w:hAnsi="Arial" w:cs="Arial"/>
          <w:color w:val="101010"/>
          <w:sz w:val="20"/>
          <w:szCs w:val="20"/>
          <w:shd w:val="clear" w:color="auto" w:fill="FFFFFF"/>
        </w:rPr>
        <w:t>Sanwa</w:t>
      </w:r>
      <w:proofErr w:type="spellEnd"/>
      <w:r w:rsidR="00BC6DEA" w:rsidRPr="00F01ED0">
        <w:rPr>
          <w:rFonts w:ascii="Arial" w:hAnsi="Arial" w:cs="Arial"/>
          <w:color w:val="101010"/>
          <w:sz w:val="20"/>
          <w:szCs w:val="20"/>
          <w:shd w:val="clear" w:color="auto" w:fill="FFFFFF"/>
        </w:rPr>
        <w:t xml:space="preserve"> Holdings Corporation)</w:t>
      </w:r>
      <w:r w:rsidR="00BC6DEA" w:rsidRPr="00F01ED0">
        <w:rPr>
          <w:rFonts w:ascii="Arial" w:hAnsi="Arial" w:cs="Arial"/>
          <w:color w:val="000000"/>
          <w:sz w:val="20"/>
          <w:szCs w:val="20"/>
        </w:rPr>
        <w:t xml:space="preserve">. Die Novoferm Gruppe produziert an verschiedenen Standorten in Europa </w:t>
      </w:r>
      <w:r w:rsidR="00BC6DEA">
        <w:rPr>
          <w:rFonts w:ascii="Arial" w:hAnsi="Arial" w:cs="Arial"/>
          <w:color w:val="000000"/>
          <w:sz w:val="20"/>
          <w:szCs w:val="20"/>
        </w:rPr>
        <w:t>und</w:t>
      </w:r>
      <w:r w:rsidR="00BC6DEA" w:rsidRPr="00F01ED0">
        <w:rPr>
          <w:rFonts w:ascii="Arial" w:hAnsi="Arial" w:cs="Arial"/>
          <w:color w:val="000000"/>
          <w:sz w:val="20"/>
          <w:szCs w:val="20"/>
        </w:rPr>
        <w:t xml:space="preserve"> vertreibt Produkte über zahlreiche Landesgesellschaften und Vertriebspartner in viele</w:t>
      </w:r>
      <w:r w:rsidR="00BC6DEA">
        <w:rPr>
          <w:rFonts w:ascii="Arial" w:hAnsi="Arial" w:cs="Arial"/>
          <w:color w:val="000000"/>
          <w:sz w:val="20"/>
          <w:szCs w:val="20"/>
        </w:rPr>
        <w:t xml:space="preserve"> </w:t>
      </w:r>
      <w:r w:rsidR="00BC6DEA" w:rsidRPr="00F01ED0">
        <w:rPr>
          <w:rFonts w:ascii="Arial" w:hAnsi="Arial" w:cs="Arial"/>
          <w:color w:val="000000"/>
          <w:sz w:val="20"/>
          <w:szCs w:val="20"/>
        </w:rPr>
        <w:t>Länder der Welt. Novoferm beschäftigt über 3.</w:t>
      </w:r>
      <w:r w:rsidR="00BC6DEA">
        <w:rPr>
          <w:rFonts w:ascii="Arial" w:hAnsi="Arial" w:cs="Arial"/>
          <w:color w:val="000000"/>
          <w:sz w:val="20"/>
          <w:szCs w:val="20"/>
        </w:rPr>
        <w:t>5</w:t>
      </w:r>
      <w:r w:rsidR="00BC6DEA" w:rsidRPr="00F01ED0">
        <w:rPr>
          <w:rFonts w:ascii="Arial" w:hAnsi="Arial" w:cs="Arial"/>
          <w:color w:val="000000"/>
          <w:sz w:val="20"/>
          <w:szCs w:val="20"/>
        </w:rPr>
        <w:t>00 Mitarb</w:t>
      </w:r>
      <w:r>
        <w:rPr>
          <w:rFonts w:ascii="Arial" w:hAnsi="Arial" w:cs="Arial"/>
          <w:color w:val="000000"/>
          <w:sz w:val="20"/>
          <w:szCs w:val="20"/>
        </w:rPr>
        <w:t>e</w:t>
      </w:r>
      <w:r w:rsidR="00BC6DEA" w:rsidRPr="00F01ED0">
        <w:rPr>
          <w:rFonts w:ascii="Arial" w:hAnsi="Arial" w:cs="Arial"/>
          <w:color w:val="000000"/>
          <w:sz w:val="20"/>
          <w:szCs w:val="20"/>
        </w:rPr>
        <w:t>iter und</w:t>
      </w:r>
      <w:r w:rsidR="00BC6DEA" w:rsidRPr="00F01ED0">
        <w:rPr>
          <w:rStyle w:val="apple-converted-space"/>
          <w:rFonts w:ascii="Arial" w:hAnsi="Arial" w:cs="Arial"/>
          <w:color w:val="000000"/>
          <w:sz w:val="20"/>
          <w:szCs w:val="20"/>
        </w:rPr>
        <w:t> </w:t>
      </w:r>
      <w:r w:rsidR="00BC6DEA" w:rsidRPr="00F01ED0">
        <w:rPr>
          <w:rFonts w:ascii="Arial" w:hAnsi="Arial" w:cs="Arial"/>
          <w:color w:val="101010"/>
          <w:sz w:val="20"/>
          <w:szCs w:val="20"/>
          <w:shd w:val="clear" w:color="auto" w:fill="FFFFFF"/>
        </w:rPr>
        <w:t>ist nach DIN EN ISO 9001 zertifiziert.</w:t>
      </w:r>
      <w:r>
        <w:rPr>
          <w:rFonts w:ascii="Arial" w:hAnsi="Arial" w:cs="Arial"/>
          <w:b/>
          <w:bCs/>
          <w:color w:val="000000" w:themeColor="text1"/>
          <w:sz w:val="22"/>
          <w:szCs w:val="22"/>
        </w:rPr>
        <w:br/>
      </w:r>
      <w:r>
        <w:rPr>
          <w:rFonts w:ascii="Arial" w:hAnsi="Arial" w:cs="Arial"/>
          <w:b/>
          <w:bCs/>
          <w:color w:val="000000" w:themeColor="text1"/>
          <w:sz w:val="22"/>
          <w:szCs w:val="22"/>
        </w:rPr>
        <w:br/>
      </w:r>
      <w:r w:rsidR="00BC6DEA" w:rsidRPr="00935D72">
        <w:rPr>
          <w:rFonts w:ascii="Arial" w:hAnsi="Arial" w:cs="Arial"/>
          <w:b/>
          <w:bCs/>
          <w:color w:val="000000" w:themeColor="text1"/>
          <w:sz w:val="22"/>
          <w:szCs w:val="22"/>
        </w:rPr>
        <w:t>Bildmaterial</w:t>
      </w:r>
      <w:bookmarkStart w:id="1" w:name="_Hlk224833117"/>
      <w:r w:rsidR="00BC6DEA" w:rsidRPr="00935D72">
        <w:rPr>
          <w:rFonts w:ascii="Arial" w:hAnsi="Arial" w:cs="Arial"/>
          <w:b/>
          <w:bCs/>
          <w:color w:val="000000" w:themeColor="text1"/>
          <w:sz w:val="22"/>
          <w:szCs w:val="22"/>
        </w:rPr>
        <w:t xml:space="preserve"> </w:t>
      </w:r>
    </w:p>
    <w:p w14:paraId="101B8E26" w14:textId="77777777" w:rsidR="0049318A" w:rsidRDefault="0049318A" w:rsidP="00BC6DEA">
      <w:pPr>
        <w:spacing w:line="360" w:lineRule="auto"/>
        <w:rPr>
          <w:rFonts w:ascii="Arial" w:hAnsi="Arial" w:cs="Arial"/>
          <w:b/>
          <w:bCs/>
          <w:color w:val="000000" w:themeColor="text1"/>
          <w:sz w:val="22"/>
          <w:szCs w:val="22"/>
        </w:rPr>
      </w:pPr>
    </w:p>
    <w:p w14:paraId="676C31DE" w14:textId="7063D380" w:rsidR="00BC6DEA" w:rsidRDefault="00BC6DEA" w:rsidP="00BC6DEA">
      <w:pPr>
        <w:spacing w:line="360" w:lineRule="auto"/>
        <w:rPr>
          <w:rFonts w:ascii="Arial" w:hAnsi="Arial" w:cs="Arial"/>
          <w:b/>
          <w:bCs/>
          <w:color w:val="000000" w:themeColor="text1"/>
          <w:sz w:val="22"/>
          <w:szCs w:val="22"/>
        </w:rPr>
      </w:pPr>
      <w:r>
        <w:rPr>
          <w:rFonts w:ascii="Arial" w:hAnsi="Arial" w:cs="Arial"/>
          <w:b/>
          <w:bCs/>
          <w:color w:val="000000" w:themeColor="text1"/>
          <w:sz w:val="22"/>
          <w:szCs w:val="22"/>
        </w:rPr>
        <w:t>Bild 1</w:t>
      </w:r>
      <w:bookmarkEnd w:id="1"/>
    </w:p>
    <w:p w14:paraId="3CC1FF58" w14:textId="4EBFB4BE" w:rsidR="00BC6DEA" w:rsidRDefault="000A3E55" w:rsidP="00BC6DEA">
      <w:pPr>
        <w:spacing w:line="360" w:lineRule="auto"/>
        <w:rPr>
          <w:rFonts w:ascii="Arial" w:hAnsi="Arial" w:cs="Arial"/>
          <w:b/>
          <w:bCs/>
          <w:color w:val="000000" w:themeColor="text1"/>
          <w:sz w:val="22"/>
          <w:szCs w:val="22"/>
        </w:rPr>
      </w:pPr>
      <w:r>
        <w:rPr>
          <w:noProof/>
        </w:rPr>
        <w:drawing>
          <wp:inline distT="0" distB="0" distL="0" distR="0" wp14:anchorId="10DC457E" wp14:editId="2EB285FE">
            <wp:extent cx="1947553" cy="2921759"/>
            <wp:effectExtent l="0" t="0" r="0" b="0"/>
            <wp:docPr id="96133447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6270" cy="2934837"/>
                    </a:xfrm>
                    <a:prstGeom prst="rect">
                      <a:avLst/>
                    </a:prstGeom>
                    <a:noFill/>
                    <a:ln>
                      <a:noFill/>
                    </a:ln>
                  </pic:spPr>
                </pic:pic>
              </a:graphicData>
            </a:graphic>
          </wp:inline>
        </w:drawing>
      </w:r>
    </w:p>
    <w:p w14:paraId="6F610026" w14:textId="2FEE82D2" w:rsidR="000A3E55" w:rsidRDefault="00BC6DEA" w:rsidP="000A3E55">
      <w:pPr>
        <w:spacing w:line="360" w:lineRule="auto"/>
        <w:rPr>
          <w:rFonts w:ascii="Arial" w:hAnsi="Arial" w:cs="Arial"/>
          <w:b/>
          <w:bCs/>
          <w:color w:val="000000" w:themeColor="text1"/>
        </w:rPr>
      </w:pPr>
      <w:r w:rsidRPr="000948CC">
        <w:rPr>
          <w:rFonts w:ascii="Arial" w:hAnsi="Arial" w:cs="Arial"/>
          <w:sz w:val="22"/>
          <w:szCs w:val="22"/>
        </w:rPr>
        <w:t xml:space="preserve">Die neue Aluminium-Eckzarge für das Brandschutzsystem </w:t>
      </w:r>
      <w:proofErr w:type="spellStart"/>
      <w:r w:rsidRPr="000948CC">
        <w:rPr>
          <w:rFonts w:ascii="Arial" w:hAnsi="Arial" w:cs="Arial"/>
          <w:sz w:val="22"/>
          <w:szCs w:val="22"/>
        </w:rPr>
        <w:t>NovoFire</w:t>
      </w:r>
      <w:proofErr w:type="spellEnd"/>
      <w:r w:rsidRPr="000948CC">
        <w:rPr>
          <w:rFonts w:ascii="Arial" w:hAnsi="Arial" w:cs="Arial"/>
          <w:sz w:val="22"/>
          <w:szCs w:val="22"/>
        </w:rPr>
        <w:t xml:space="preserve"> Alu T30/RS </w:t>
      </w:r>
      <w:r w:rsidR="000A3E55">
        <w:rPr>
          <w:rFonts w:ascii="Arial" w:hAnsi="Arial" w:cs="Arial"/>
          <w:sz w:val="22"/>
          <w:szCs w:val="22"/>
        </w:rPr>
        <w:t xml:space="preserve">wurde auf der Fachmesse </w:t>
      </w:r>
      <w:proofErr w:type="spellStart"/>
      <w:r w:rsidR="000A3E55">
        <w:rPr>
          <w:rFonts w:ascii="Arial" w:hAnsi="Arial" w:cs="Arial"/>
          <w:sz w:val="22"/>
          <w:szCs w:val="22"/>
        </w:rPr>
        <w:t>FeuerTrutz</w:t>
      </w:r>
      <w:proofErr w:type="spellEnd"/>
      <w:r w:rsidR="000A3E55">
        <w:rPr>
          <w:rFonts w:ascii="Arial" w:hAnsi="Arial" w:cs="Arial"/>
          <w:sz w:val="22"/>
          <w:szCs w:val="22"/>
        </w:rPr>
        <w:t xml:space="preserve"> in Nürnberg vorgestellt. Die Neuheit </w:t>
      </w:r>
      <w:r w:rsidR="000A3E55" w:rsidRPr="000948CC">
        <w:rPr>
          <w:rFonts w:ascii="Arial" w:hAnsi="Arial" w:cs="Arial"/>
          <w:sz w:val="22"/>
          <w:szCs w:val="22"/>
        </w:rPr>
        <w:t xml:space="preserve">schafft bei gleicher Maueröffnung bis zu 70 mm mehr lichten Durchgang und </w:t>
      </w:r>
      <w:r w:rsidR="000A3E55">
        <w:rPr>
          <w:rFonts w:ascii="Arial" w:hAnsi="Arial" w:cs="Arial"/>
          <w:sz w:val="22"/>
          <w:szCs w:val="22"/>
        </w:rPr>
        <w:t xml:space="preserve">eignet sich ideal für die </w:t>
      </w:r>
      <w:r w:rsidR="000A3E55" w:rsidRPr="000948CC">
        <w:rPr>
          <w:rFonts w:ascii="Arial" w:hAnsi="Arial" w:cs="Arial"/>
          <w:sz w:val="22"/>
          <w:szCs w:val="22"/>
        </w:rPr>
        <w:t>Modernisierung von Brand- und Rauchschutzabschlüssen im Bestand</w:t>
      </w:r>
      <w:r w:rsidR="000A3E55">
        <w:rPr>
          <w:rFonts w:ascii="Arial" w:hAnsi="Arial" w:cs="Arial"/>
          <w:sz w:val="22"/>
          <w:szCs w:val="22"/>
        </w:rPr>
        <w:t>.</w:t>
      </w:r>
    </w:p>
    <w:p w14:paraId="4C913E35" w14:textId="77777777" w:rsidR="000A3E55" w:rsidRDefault="000A3E55" w:rsidP="00BC6DEA">
      <w:pPr>
        <w:rPr>
          <w:rFonts w:ascii="Arial" w:hAnsi="Arial" w:cs="Arial"/>
          <w:b/>
          <w:bCs/>
          <w:color w:val="000000" w:themeColor="text1"/>
        </w:rPr>
      </w:pPr>
    </w:p>
    <w:p w14:paraId="234EFEC1" w14:textId="77777777" w:rsidR="000A3E55" w:rsidRDefault="000A3E55" w:rsidP="00BC6DEA">
      <w:pPr>
        <w:rPr>
          <w:rFonts w:ascii="Arial" w:hAnsi="Arial" w:cs="Arial"/>
          <w:b/>
          <w:bCs/>
          <w:color w:val="000000" w:themeColor="text1"/>
        </w:rPr>
      </w:pPr>
    </w:p>
    <w:p w14:paraId="2033B997" w14:textId="7B0C5613" w:rsidR="00BC6DEA" w:rsidRDefault="00BC6DEA" w:rsidP="00BC6DEA">
      <w:pPr>
        <w:rPr>
          <w:rFonts w:ascii="Arial" w:hAnsi="Arial" w:cs="Arial"/>
          <w:b/>
          <w:bCs/>
          <w:color w:val="000000" w:themeColor="text1"/>
        </w:rPr>
      </w:pPr>
      <w:r>
        <w:rPr>
          <w:rFonts w:ascii="Arial" w:hAnsi="Arial" w:cs="Arial"/>
          <w:b/>
          <w:bCs/>
          <w:color w:val="000000" w:themeColor="text1"/>
        </w:rPr>
        <w:t>Bild 2</w:t>
      </w:r>
    </w:p>
    <w:p w14:paraId="7B638AAE" w14:textId="77777777" w:rsidR="00BC6DEA" w:rsidRDefault="00BC6DEA" w:rsidP="00BC6DEA">
      <w:pPr>
        <w:rPr>
          <w:rFonts w:ascii="Arial" w:hAnsi="Arial" w:cs="Arial"/>
          <w:b/>
          <w:bCs/>
          <w:color w:val="000000" w:themeColor="text1"/>
        </w:rPr>
      </w:pPr>
    </w:p>
    <w:p w14:paraId="61A1C61A" w14:textId="77777777" w:rsidR="000A3E55" w:rsidRDefault="000A3E55" w:rsidP="00BC6DEA">
      <w:pPr>
        <w:spacing w:line="360" w:lineRule="auto"/>
        <w:rPr>
          <w:rFonts w:ascii="Arial" w:hAnsi="Arial" w:cs="Arial"/>
          <w:sz w:val="22"/>
          <w:szCs w:val="22"/>
        </w:rPr>
      </w:pPr>
      <w:r>
        <w:rPr>
          <w:noProof/>
        </w:rPr>
        <w:drawing>
          <wp:inline distT="0" distB="0" distL="0" distR="0" wp14:anchorId="5D36E1F6" wp14:editId="421B5C58">
            <wp:extent cx="3675413" cy="2450005"/>
            <wp:effectExtent l="0" t="0" r="1270" b="7620"/>
            <wp:docPr id="192920196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83223" cy="2455211"/>
                    </a:xfrm>
                    <a:prstGeom prst="rect">
                      <a:avLst/>
                    </a:prstGeom>
                    <a:noFill/>
                    <a:ln>
                      <a:noFill/>
                    </a:ln>
                  </pic:spPr>
                </pic:pic>
              </a:graphicData>
            </a:graphic>
          </wp:inline>
        </w:drawing>
      </w:r>
    </w:p>
    <w:p w14:paraId="2949D237" w14:textId="2D2E3B32" w:rsidR="00BC6DEA" w:rsidRPr="000948CC" w:rsidRDefault="00BC6DEA" w:rsidP="00BC6DEA">
      <w:pPr>
        <w:spacing w:line="360" w:lineRule="auto"/>
        <w:rPr>
          <w:rFonts w:ascii="Arial" w:hAnsi="Arial" w:cs="Arial"/>
          <w:sz w:val="22"/>
          <w:szCs w:val="22"/>
        </w:rPr>
      </w:pPr>
      <w:r w:rsidRPr="000948CC">
        <w:rPr>
          <w:rFonts w:ascii="Arial" w:hAnsi="Arial" w:cs="Arial"/>
          <w:sz w:val="22"/>
          <w:szCs w:val="22"/>
        </w:rPr>
        <w:t>Die Aluminium-Eckzarge bildet zusammen mit der Aluminium-Rohrrahmentür ein durchgängiges System. Flächenbündige Profile und abgestimmte Oberflächen sorgen für eine hochwertige Optik und zusätzliche Gestaltungsfreiheit im Objektbau.</w:t>
      </w:r>
    </w:p>
    <w:p w14:paraId="10125CE1" w14:textId="77777777" w:rsidR="00BC6DEA" w:rsidRPr="000948CC" w:rsidRDefault="00BC6DEA" w:rsidP="00BC6DEA">
      <w:pPr>
        <w:spacing w:line="360" w:lineRule="auto"/>
        <w:rPr>
          <w:rFonts w:ascii="Arial" w:hAnsi="Arial" w:cs="Arial"/>
          <w:sz w:val="22"/>
          <w:szCs w:val="22"/>
        </w:rPr>
      </w:pPr>
    </w:p>
    <w:p w14:paraId="2B81CF7F" w14:textId="77777777" w:rsidR="00BC6DEA" w:rsidRPr="000948CC" w:rsidRDefault="00BC6DEA" w:rsidP="00BC6DEA">
      <w:pPr>
        <w:rPr>
          <w:rFonts w:ascii="Arial" w:hAnsi="Arial" w:cs="Arial"/>
          <w:b/>
          <w:bCs/>
          <w:color w:val="000000" w:themeColor="text1"/>
        </w:rPr>
      </w:pPr>
    </w:p>
    <w:p w14:paraId="2E0217F9" w14:textId="77777777" w:rsidR="00BC6DEA" w:rsidRPr="00121CDF" w:rsidRDefault="00BC6DEA" w:rsidP="00BC6DEA">
      <w:pPr>
        <w:spacing w:line="360" w:lineRule="auto"/>
        <w:rPr>
          <w:rFonts w:ascii="Arial" w:hAnsi="Arial" w:cs="Arial"/>
          <w:color w:val="000000" w:themeColor="text1"/>
          <w:sz w:val="22"/>
          <w:szCs w:val="22"/>
        </w:rPr>
      </w:pPr>
      <w:r w:rsidRPr="001C26D1">
        <w:rPr>
          <w:rFonts w:ascii="Arial" w:hAnsi="Arial" w:cs="Arial"/>
          <w:color w:val="000000" w:themeColor="text1"/>
          <w:sz w:val="22"/>
          <w:szCs w:val="22"/>
        </w:rPr>
        <w:t>Bildnachweis: ©Novoferm</w:t>
      </w:r>
    </w:p>
    <w:p w14:paraId="215E8752" w14:textId="77777777" w:rsidR="00BC6DEA" w:rsidRDefault="00BC6DEA" w:rsidP="00BC6DEA">
      <w:pPr>
        <w:spacing w:line="360" w:lineRule="auto"/>
        <w:rPr>
          <w:rFonts w:ascii="Arial" w:hAnsi="Arial" w:cs="Arial"/>
          <w:b/>
          <w:bCs/>
          <w:color w:val="000000" w:themeColor="text1"/>
        </w:rPr>
      </w:pPr>
    </w:p>
    <w:p w14:paraId="427A22CA" w14:textId="77777777" w:rsidR="00BC6DEA" w:rsidRDefault="00BC6DEA" w:rsidP="00BC6DEA">
      <w:pPr>
        <w:spacing w:line="360" w:lineRule="auto"/>
        <w:rPr>
          <w:rFonts w:ascii="Arial" w:hAnsi="Arial" w:cs="Arial"/>
          <w:b/>
          <w:bCs/>
          <w:color w:val="000000" w:themeColor="text1"/>
        </w:rPr>
      </w:pPr>
    </w:p>
    <w:p w14:paraId="62957C98" w14:textId="77777777" w:rsidR="00BC6DEA" w:rsidRPr="00597936" w:rsidRDefault="00BC6DEA" w:rsidP="00BC6DEA">
      <w:pPr>
        <w:spacing w:line="360" w:lineRule="auto"/>
        <w:rPr>
          <w:rFonts w:ascii="Arial" w:hAnsi="Arial" w:cs="Arial"/>
          <w:b/>
          <w:bCs/>
          <w:color w:val="000000" w:themeColor="text1"/>
        </w:rPr>
      </w:pPr>
      <w:r w:rsidRPr="000769EA">
        <w:rPr>
          <w:rFonts w:ascii="Arial" w:hAnsi="Arial" w:cs="Arial"/>
          <w:b/>
          <w:bCs/>
          <w:color w:val="000000" w:themeColor="text1"/>
        </w:rPr>
        <w:t>Pressekontakt</w:t>
      </w:r>
    </w:p>
    <w:p w14:paraId="1BD9AB90" w14:textId="77777777" w:rsidR="00BC6DEA" w:rsidRDefault="00BC6DEA" w:rsidP="00BC6DEA">
      <w:pPr>
        <w:autoSpaceDE w:val="0"/>
        <w:autoSpaceDN w:val="0"/>
        <w:adjustRightInd w:val="0"/>
        <w:spacing w:line="276" w:lineRule="auto"/>
        <w:ind w:right="793"/>
        <w:jc w:val="both"/>
        <w:rPr>
          <w:rFonts w:ascii="Arial" w:hAnsi="Arial" w:cs="Arial"/>
          <w:bCs/>
          <w:sz w:val="22"/>
          <w:szCs w:val="22"/>
        </w:rPr>
      </w:pPr>
      <w:r w:rsidRPr="00AA4F2B">
        <w:rPr>
          <w:rFonts w:ascii="Arial" w:hAnsi="Arial" w:cs="Arial"/>
          <w:bCs/>
          <w:sz w:val="22"/>
          <w:szCs w:val="22"/>
        </w:rPr>
        <w:t>Heike Verbeek</w:t>
      </w:r>
    </w:p>
    <w:p w14:paraId="08976CB6" w14:textId="77777777" w:rsidR="00BC6DEA" w:rsidRPr="00AA4F2B" w:rsidRDefault="00BC6DEA" w:rsidP="00BC6DEA">
      <w:pPr>
        <w:autoSpaceDE w:val="0"/>
        <w:autoSpaceDN w:val="0"/>
        <w:adjustRightInd w:val="0"/>
        <w:spacing w:line="276" w:lineRule="auto"/>
        <w:ind w:right="793"/>
        <w:jc w:val="both"/>
        <w:rPr>
          <w:rFonts w:ascii="Arial" w:hAnsi="Arial" w:cs="Arial"/>
          <w:bCs/>
          <w:sz w:val="22"/>
          <w:szCs w:val="22"/>
        </w:rPr>
      </w:pPr>
      <w:r w:rsidRPr="00AA4F2B">
        <w:rPr>
          <w:rFonts w:ascii="Arial" w:hAnsi="Arial" w:cs="Arial"/>
          <w:bCs/>
          <w:sz w:val="22"/>
          <w:szCs w:val="22"/>
        </w:rPr>
        <w:t>Novoferm Vertriebs GmbH</w:t>
      </w:r>
    </w:p>
    <w:p w14:paraId="34323AD7" w14:textId="77777777" w:rsidR="00BC6DEA" w:rsidRPr="00AA4F2B" w:rsidRDefault="00BC6DEA" w:rsidP="00BC6DEA">
      <w:pPr>
        <w:autoSpaceDE w:val="0"/>
        <w:autoSpaceDN w:val="0"/>
        <w:adjustRightInd w:val="0"/>
        <w:spacing w:line="276" w:lineRule="auto"/>
        <w:ind w:right="793"/>
        <w:jc w:val="both"/>
        <w:rPr>
          <w:rFonts w:ascii="Arial" w:hAnsi="Arial" w:cs="Arial"/>
          <w:bCs/>
          <w:sz w:val="22"/>
          <w:szCs w:val="22"/>
        </w:rPr>
      </w:pPr>
      <w:proofErr w:type="spellStart"/>
      <w:r w:rsidRPr="00AA4F2B">
        <w:rPr>
          <w:rFonts w:ascii="Arial" w:hAnsi="Arial" w:cs="Arial"/>
          <w:bCs/>
          <w:sz w:val="22"/>
          <w:szCs w:val="22"/>
        </w:rPr>
        <w:t>Schüttensteiner</w:t>
      </w:r>
      <w:proofErr w:type="spellEnd"/>
      <w:r w:rsidRPr="00AA4F2B">
        <w:rPr>
          <w:rFonts w:ascii="Arial" w:hAnsi="Arial" w:cs="Arial"/>
          <w:bCs/>
          <w:sz w:val="22"/>
          <w:szCs w:val="22"/>
        </w:rPr>
        <w:t xml:space="preserve"> Straße 26</w:t>
      </w:r>
    </w:p>
    <w:p w14:paraId="060810D7" w14:textId="77777777" w:rsidR="00BC6DEA" w:rsidRPr="00AA4F2B" w:rsidRDefault="00BC6DEA" w:rsidP="00BC6DEA">
      <w:pPr>
        <w:autoSpaceDE w:val="0"/>
        <w:autoSpaceDN w:val="0"/>
        <w:adjustRightInd w:val="0"/>
        <w:spacing w:line="276" w:lineRule="auto"/>
        <w:ind w:right="793"/>
        <w:jc w:val="both"/>
        <w:rPr>
          <w:rFonts w:ascii="Arial" w:hAnsi="Arial" w:cs="Arial"/>
          <w:bCs/>
          <w:sz w:val="22"/>
          <w:szCs w:val="22"/>
        </w:rPr>
      </w:pPr>
      <w:r w:rsidRPr="00AA4F2B">
        <w:rPr>
          <w:rFonts w:ascii="Arial" w:hAnsi="Arial" w:cs="Arial"/>
          <w:bCs/>
          <w:sz w:val="22"/>
          <w:szCs w:val="22"/>
        </w:rPr>
        <w:t>46419 Isselburg (Werth)</w:t>
      </w:r>
    </w:p>
    <w:p w14:paraId="7E7ACD8F" w14:textId="77777777" w:rsidR="00BC6DEA" w:rsidRPr="00AA4F2B" w:rsidRDefault="00BC6DEA" w:rsidP="00BC6DEA">
      <w:pPr>
        <w:tabs>
          <w:tab w:val="left" w:pos="1041"/>
        </w:tabs>
        <w:autoSpaceDE w:val="0"/>
        <w:autoSpaceDN w:val="0"/>
        <w:adjustRightInd w:val="0"/>
        <w:spacing w:line="276" w:lineRule="auto"/>
        <w:ind w:right="793"/>
        <w:jc w:val="both"/>
        <w:rPr>
          <w:rFonts w:ascii="Arial" w:hAnsi="Arial" w:cs="Arial"/>
          <w:bCs/>
          <w:sz w:val="22"/>
          <w:szCs w:val="22"/>
        </w:rPr>
      </w:pPr>
      <w:r w:rsidRPr="00AA4F2B">
        <w:rPr>
          <w:rFonts w:ascii="Arial" w:hAnsi="Arial" w:cs="Arial"/>
          <w:bCs/>
          <w:sz w:val="22"/>
          <w:szCs w:val="22"/>
        </w:rPr>
        <w:t>Tel.</w:t>
      </w:r>
      <w:r>
        <w:rPr>
          <w:rFonts w:ascii="Arial" w:hAnsi="Arial" w:cs="Arial"/>
          <w:bCs/>
          <w:sz w:val="22"/>
          <w:szCs w:val="22"/>
        </w:rPr>
        <w:t xml:space="preserve">: +49 </w:t>
      </w:r>
      <w:r w:rsidRPr="00AA4F2B">
        <w:rPr>
          <w:rFonts w:ascii="Arial" w:hAnsi="Arial" w:cs="Arial"/>
          <w:bCs/>
          <w:sz w:val="22"/>
          <w:szCs w:val="22"/>
        </w:rPr>
        <w:t>28 50</w:t>
      </w:r>
      <w:r>
        <w:rPr>
          <w:rFonts w:ascii="Arial" w:hAnsi="Arial" w:cs="Arial"/>
          <w:bCs/>
          <w:sz w:val="22"/>
          <w:szCs w:val="22"/>
        </w:rPr>
        <w:t xml:space="preserve"> </w:t>
      </w:r>
      <w:r w:rsidRPr="00AA4F2B">
        <w:rPr>
          <w:rFonts w:ascii="Arial" w:hAnsi="Arial" w:cs="Arial"/>
          <w:bCs/>
          <w:sz w:val="22"/>
          <w:szCs w:val="22"/>
        </w:rPr>
        <w:t>9 10-4 35</w:t>
      </w:r>
    </w:p>
    <w:p w14:paraId="482CF5C3" w14:textId="77777777" w:rsidR="00BC6DEA" w:rsidRPr="00AA4F2B" w:rsidRDefault="00BC6DEA" w:rsidP="00BC6DEA">
      <w:pPr>
        <w:autoSpaceDE w:val="0"/>
        <w:autoSpaceDN w:val="0"/>
        <w:adjustRightInd w:val="0"/>
        <w:spacing w:line="276" w:lineRule="auto"/>
        <w:ind w:right="793"/>
        <w:jc w:val="both"/>
        <w:rPr>
          <w:rFonts w:ascii="Arial" w:hAnsi="Arial" w:cs="Arial"/>
          <w:bCs/>
          <w:sz w:val="22"/>
          <w:szCs w:val="22"/>
        </w:rPr>
      </w:pPr>
      <w:hyperlink r:id="rId11" w:history="1">
        <w:r w:rsidRPr="00AA4F2B">
          <w:rPr>
            <w:rStyle w:val="Hyperlink"/>
            <w:rFonts w:ascii="Arial" w:hAnsi="Arial" w:cs="Arial"/>
            <w:bCs/>
            <w:sz w:val="22"/>
            <w:szCs w:val="22"/>
          </w:rPr>
          <w:t>heike.verbeek@novoferm.de</w:t>
        </w:r>
      </w:hyperlink>
    </w:p>
    <w:p w14:paraId="7FDD1BC4" w14:textId="77777777" w:rsidR="00BC6DEA" w:rsidRPr="00AA136E" w:rsidRDefault="00BC6DEA" w:rsidP="00BC6DEA">
      <w:pPr>
        <w:autoSpaceDE w:val="0"/>
        <w:autoSpaceDN w:val="0"/>
        <w:adjustRightInd w:val="0"/>
        <w:spacing w:line="276" w:lineRule="auto"/>
        <w:ind w:right="793"/>
        <w:jc w:val="both"/>
        <w:rPr>
          <w:rFonts w:ascii="Arial" w:hAnsi="Arial" w:cs="Arial"/>
          <w:bCs/>
          <w:sz w:val="22"/>
          <w:szCs w:val="22"/>
        </w:rPr>
      </w:pPr>
      <w:hyperlink r:id="rId12" w:history="1">
        <w:r w:rsidRPr="00AA4F2B">
          <w:rPr>
            <w:rStyle w:val="Hyperlink"/>
            <w:rFonts w:ascii="Arial" w:hAnsi="Arial" w:cs="Arial"/>
            <w:bCs/>
            <w:sz w:val="22"/>
            <w:szCs w:val="22"/>
          </w:rPr>
          <w:t>www.novoferm.de</w:t>
        </w:r>
      </w:hyperlink>
    </w:p>
    <w:p w14:paraId="607F3DEA" w14:textId="77777777" w:rsidR="00BC6DEA" w:rsidRDefault="00BC6DEA" w:rsidP="00BC6DEA"/>
    <w:p w14:paraId="252C99B5" w14:textId="388604A9" w:rsidR="00FD159C" w:rsidRPr="00AA136E" w:rsidRDefault="00FD159C" w:rsidP="00BC6DEA">
      <w:pPr>
        <w:pStyle w:val="Kopfzeile"/>
        <w:rPr>
          <w:rFonts w:ascii="Arial" w:hAnsi="Arial" w:cs="Arial"/>
          <w:bCs/>
          <w:sz w:val="22"/>
          <w:szCs w:val="22"/>
        </w:rPr>
      </w:pPr>
    </w:p>
    <w:sectPr w:rsidR="00FD159C" w:rsidRPr="00AA136E" w:rsidSect="00FD159C">
      <w:footerReference w:type="even" r:id="rId13"/>
      <w:footerReference w:type="default" r:id="rId14"/>
      <w:pgSz w:w="11906" w:h="16838"/>
      <w:pgMar w:top="851"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1433D" w14:textId="77777777" w:rsidR="002E0FD9" w:rsidRDefault="002E0FD9" w:rsidP="00FD159C">
      <w:r>
        <w:separator/>
      </w:r>
    </w:p>
  </w:endnote>
  <w:endnote w:type="continuationSeparator" w:id="0">
    <w:p w14:paraId="75A50A02" w14:textId="77777777" w:rsidR="002E0FD9" w:rsidRDefault="002E0FD9" w:rsidP="00FD1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wsGotT">
    <w:altName w:val="Times New Roman"/>
    <w:charset w:val="00"/>
    <w:family w:val="auto"/>
    <w:pitch w:val="variable"/>
    <w:sig w:usb0="800000AF" w:usb1="000078F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384103920"/>
      <w:docPartObj>
        <w:docPartGallery w:val="Page Numbers (Bottom of Page)"/>
        <w:docPartUnique/>
      </w:docPartObj>
    </w:sdtPr>
    <w:sdtContent>
      <w:p w14:paraId="37E8D3DE" w14:textId="0A4AD9B0" w:rsidR="00FD159C" w:rsidRDefault="00FD159C" w:rsidP="00D51B91">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2EF2E931" w14:textId="77777777" w:rsidR="00FD159C" w:rsidRDefault="00FD159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985473631"/>
      <w:docPartObj>
        <w:docPartGallery w:val="Page Numbers (Bottom of Page)"/>
        <w:docPartUnique/>
      </w:docPartObj>
    </w:sdtPr>
    <w:sdtContent>
      <w:p w14:paraId="638F3A7C" w14:textId="2A9DD4F7" w:rsidR="00FD159C" w:rsidRDefault="00FD159C" w:rsidP="00D51B91">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392F384A" w14:textId="77777777" w:rsidR="00FD159C" w:rsidRDefault="00FD159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7D3D9" w14:textId="77777777" w:rsidR="002E0FD9" w:rsidRDefault="002E0FD9" w:rsidP="00FD159C">
      <w:r>
        <w:separator/>
      </w:r>
    </w:p>
  </w:footnote>
  <w:footnote w:type="continuationSeparator" w:id="0">
    <w:p w14:paraId="02A60AC9" w14:textId="77777777" w:rsidR="002E0FD9" w:rsidRDefault="002E0FD9" w:rsidP="00FD15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59C"/>
    <w:rsid w:val="00024538"/>
    <w:rsid w:val="000248BE"/>
    <w:rsid w:val="00045476"/>
    <w:rsid w:val="000503A1"/>
    <w:rsid w:val="00066B18"/>
    <w:rsid w:val="00076F08"/>
    <w:rsid w:val="00080B5A"/>
    <w:rsid w:val="00092F7C"/>
    <w:rsid w:val="00093804"/>
    <w:rsid w:val="000944EA"/>
    <w:rsid w:val="000948CC"/>
    <w:rsid w:val="00096DCE"/>
    <w:rsid w:val="000A0A20"/>
    <w:rsid w:val="000A3E55"/>
    <w:rsid w:val="000B6E6F"/>
    <w:rsid w:val="000D60D0"/>
    <w:rsid w:val="000F652F"/>
    <w:rsid w:val="00121CDF"/>
    <w:rsid w:val="0013533C"/>
    <w:rsid w:val="00137759"/>
    <w:rsid w:val="001402B4"/>
    <w:rsid w:val="00141A55"/>
    <w:rsid w:val="0014795A"/>
    <w:rsid w:val="00150DB9"/>
    <w:rsid w:val="001669A0"/>
    <w:rsid w:val="001A2D09"/>
    <w:rsid w:val="001A77AA"/>
    <w:rsid w:val="001C26D1"/>
    <w:rsid w:val="0021452F"/>
    <w:rsid w:val="00232387"/>
    <w:rsid w:val="0023440C"/>
    <w:rsid w:val="0024633D"/>
    <w:rsid w:val="0025090B"/>
    <w:rsid w:val="002B4C2C"/>
    <w:rsid w:val="002E0FD9"/>
    <w:rsid w:val="002F3A54"/>
    <w:rsid w:val="00301BDC"/>
    <w:rsid w:val="0033595E"/>
    <w:rsid w:val="0035613C"/>
    <w:rsid w:val="0037081E"/>
    <w:rsid w:val="00386430"/>
    <w:rsid w:val="003B3E8A"/>
    <w:rsid w:val="003B70E9"/>
    <w:rsid w:val="003C31AE"/>
    <w:rsid w:val="003E1009"/>
    <w:rsid w:val="003E648D"/>
    <w:rsid w:val="003F0C3D"/>
    <w:rsid w:val="003F2DEB"/>
    <w:rsid w:val="003F6241"/>
    <w:rsid w:val="00400931"/>
    <w:rsid w:val="00416B56"/>
    <w:rsid w:val="004450EA"/>
    <w:rsid w:val="00457465"/>
    <w:rsid w:val="00464908"/>
    <w:rsid w:val="0049318A"/>
    <w:rsid w:val="004B0528"/>
    <w:rsid w:val="004D1820"/>
    <w:rsid w:val="004D3D47"/>
    <w:rsid w:val="004D4191"/>
    <w:rsid w:val="004F29C0"/>
    <w:rsid w:val="00500E24"/>
    <w:rsid w:val="005204B5"/>
    <w:rsid w:val="00521878"/>
    <w:rsid w:val="005245A9"/>
    <w:rsid w:val="00531DB6"/>
    <w:rsid w:val="00534696"/>
    <w:rsid w:val="0054466A"/>
    <w:rsid w:val="005746D2"/>
    <w:rsid w:val="00597D9D"/>
    <w:rsid w:val="005A6665"/>
    <w:rsid w:val="005B2D84"/>
    <w:rsid w:val="005D62B3"/>
    <w:rsid w:val="005F4D09"/>
    <w:rsid w:val="00600C33"/>
    <w:rsid w:val="00631C64"/>
    <w:rsid w:val="00642468"/>
    <w:rsid w:val="00642AB2"/>
    <w:rsid w:val="00656B10"/>
    <w:rsid w:val="0067289C"/>
    <w:rsid w:val="00690547"/>
    <w:rsid w:val="00696D31"/>
    <w:rsid w:val="006A0044"/>
    <w:rsid w:val="006C49CD"/>
    <w:rsid w:val="006C69E1"/>
    <w:rsid w:val="006D4592"/>
    <w:rsid w:val="006E3A14"/>
    <w:rsid w:val="006F5FB2"/>
    <w:rsid w:val="006F61E4"/>
    <w:rsid w:val="00704453"/>
    <w:rsid w:val="007B0C3D"/>
    <w:rsid w:val="007B1614"/>
    <w:rsid w:val="007B2252"/>
    <w:rsid w:val="007D48AD"/>
    <w:rsid w:val="00801606"/>
    <w:rsid w:val="00806E9A"/>
    <w:rsid w:val="00824A23"/>
    <w:rsid w:val="00842662"/>
    <w:rsid w:val="00851AA5"/>
    <w:rsid w:val="00860D90"/>
    <w:rsid w:val="008750EF"/>
    <w:rsid w:val="008772B6"/>
    <w:rsid w:val="008B42D0"/>
    <w:rsid w:val="008C2F52"/>
    <w:rsid w:val="008C61BF"/>
    <w:rsid w:val="008F532C"/>
    <w:rsid w:val="0090237F"/>
    <w:rsid w:val="00903B9E"/>
    <w:rsid w:val="00905262"/>
    <w:rsid w:val="00935D72"/>
    <w:rsid w:val="00985981"/>
    <w:rsid w:val="00995168"/>
    <w:rsid w:val="009F3AE9"/>
    <w:rsid w:val="00A050B0"/>
    <w:rsid w:val="00A162B5"/>
    <w:rsid w:val="00A170C9"/>
    <w:rsid w:val="00A42467"/>
    <w:rsid w:val="00A44EE0"/>
    <w:rsid w:val="00A471D8"/>
    <w:rsid w:val="00A61A5E"/>
    <w:rsid w:val="00A70A5E"/>
    <w:rsid w:val="00AA136E"/>
    <w:rsid w:val="00AA2186"/>
    <w:rsid w:val="00AC5D35"/>
    <w:rsid w:val="00AD2A1B"/>
    <w:rsid w:val="00AD3317"/>
    <w:rsid w:val="00AE6EE1"/>
    <w:rsid w:val="00AF7FA6"/>
    <w:rsid w:val="00B05714"/>
    <w:rsid w:val="00B264C3"/>
    <w:rsid w:val="00B35D0F"/>
    <w:rsid w:val="00B43551"/>
    <w:rsid w:val="00B66E4E"/>
    <w:rsid w:val="00B8673C"/>
    <w:rsid w:val="00B9644A"/>
    <w:rsid w:val="00BB0EB7"/>
    <w:rsid w:val="00BB5344"/>
    <w:rsid w:val="00BB77ED"/>
    <w:rsid w:val="00BC6DEA"/>
    <w:rsid w:val="00BE2EAF"/>
    <w:rsid w:val="00C0090B"/>
    <w:rsid w:val="00C43070"/>
    <w:rsid w:val="00C50905"/>
    <w:rsid w:val="00C540DD"/>
    <w:rsid w:val="00C649E7"/>
    <w:rsid w:val="00C86D32"/>
    <w:rsid w:val="00CA63B6"/>
    <w:rsid w:val="00CC32EA"/>
    <w:rsid w:val="00CC7372"/>
    <w:rsid w:val="00CE66B0"/>
    <w:rsid w:val="00D00965"/>
    <w:rsid w:val="00D169AE"/>
    <w:rsid w:val="00D27A98"/>
    <w:rsid w:val="00D32BC7"/>
    <w:rsid w:val="00D6655D"/>
    <w:rsid w:val="00D7337E"/>
    <w:rsid w:val="00D762A8"/>
    <w:rsid w:val="00DA08D1"/>
    <w:rsid w:val="00DA280A"/>
    <w:rsid w:val="00DA5D10"/>
    <w:rsid w:val="00DA5EFB"/>
    <w:rsid w:val="00DF4806"/>
    <w:rsid w:val="00E112F8"/>
    <w:rsid w:val="00E12118"/>
    <w:rsid w:val="00E1657A"/>
    <w:rsid w:val="00E35894"/>
    <w:rsid w:val="00E420D0"/>
    <w:rsid w:val="00E82972"/>
    <w:rsid w:val="00E95A3B"/>
    <w:rsid w:val="00EB55A7"/>
    <w:rsid w:val="00EC1CE3"/>
    <w:rsid w:val="00EF39B1"/>
    <w:rsid w:val="00F05D18"/>
    <w:rsid w:val="00F23612"/>
    <w:rsid w:val="00F2697D"/>
    <w:rsid w:val="00F43E10"/>
    <w:rsid w:val="00F50778"/>
    <w:rsid w:val="00F509E9"/>
    <w:rsid w:val="00F61B29"/>
    <w:rsid w:val="00F66237"/>
    <w:rsid w:val="00F82403"/>
    <w:rsid w:val="00F82B4D"/>
    <w:rsid w:val="00FA3456"/>
    <w:rsid w:val="00FA578C"/>
    <w:rsid w:val="00FA5B8C"/>
    <w:rsid w:val="00FB20AA"/>
    <w:rsid w:val="00FD159C"/>
    <w:rsid w:val="00FE46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BE9C0"/>
  <w15:chartTrackingRefBased/>
  <w15:docId w15:val="{1A2F6959-68DD-2E4F-8284-E63D072DE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D159C"/>
    <w:pPr>
      <w:tabs>
        <w:tab w:val="center" w:pos="4536"/>
        <w:tab w:val="right" w:pos="9072"/>
      </w:tabs>
    </w:pPr>
  </w:style>
  <w:style w:type="character" w:customStyle="1" w:styleId="KopfzeileZchn">
    <w:name w:val="Kopfzeile Zchn"/>
    <w:basedOn w:val="Absatz-Standardschriftart"/>
    <w:link w:val="Kopfzeile"/>
    <w:uiPriority w:val="99"/>
    <w:rsid w:val="00FD159C"/>
  </w:style>
  <w:style w:type="character" w:styleId="Seitenzahl">
    <w:name w:val="page number"/>
    <w:basedOn w:val="Absatz-Standardschriftart"/>
    <w:uiPriority w:val="99"/>
    <w:rsid w:val="00FD159C"/>
    <w:rPr>
      <w:rFonts w:cs="Times New Roman"/>
    </w:rPr>
  </w:style>
  <w:style w:type="character" w:customStyle="1" w:styleId="apple-converted-space">
    <w:name w:val="apple-converted-space"/>
    <w:basedOn w:val="Absatz-Standardschriftart"/>
    <w:rsid w:val="00FD159C"/>
  </w:style>
  <w:style w:type="character" w:styleId="Hyperlink">
    <w:name w:val="Hyperlink"/>
    <w:basedOn w:val="Absatz-Standardschriftart"/>
    <w:uiPriority w:val="99"/>
    <w:unhideWhenUsed/>
    <w:rsid w:val="00FD159C"/>
    <w:rPr>
      <w:color w:val="0563C1" w:themeColor="hyperlink"/>
      <w:u w:val="single"/>
    </w:rPr>
  </w:style>
  <w:style w:type="paragraph" w:styleId="Fuzeile">
    <w:name w:val="footer"/>
    <w:basedOn w:val="Standard"/>
    <w:link w:val="FuzeileZchn"/>
    <w:uiPriority w:val="99"/>
    <w:unhideWhenUsed/>
    <w:rsid w:val="00FD159C"/>
    <w:pPr>
      <w:tabs>
        <w:tab w:val="center" w:pos="4536"/>
        <w:tab w:val="right" w:pos="9072"/>
      </w:tabs>
    </w:pPr>
  </w:style>
  <w:style w:type="character" w:customStyle="1" w:styleId="FuzeileZchn">
    <w:name w:val="Fußzeile Zchn"/>
    <w:basedOn w:val="Absatz-Standardschriftart"/>
    <w:link w:val="Fuzeile"/>
    <w:uiPriority w:val="99"/>
    <w:rsid w:val="00FD159C"/>
  </w:style>
  <w:style w:type="character" w:styleId="Kommentarzeichen">
    <w:name w:val="annotation reference"/>
    <w:basedOn w:val="Absatz-Standardschriftart"/>
    <w:uiPriority w:val="99"/>
    <w:semiHidden/>
    <w:unhideWhenUsed/>
    <w:rsid w:val="00B8673C"/>
    <w:rPr>
      <w:sz w:val="16"/>
      <w:szCs w:val="16"/>
    </w:rPr>
  </w:style>
  <w:style w:type="paragraph" w:styleId="Kommentartext">
    <w:name w:val="annotation text"/>
    <w:basedOn w:val="Standard"/>
    <w:link w:val="KommentartextZchn"/>
    <w:uiPriority w:val="99"/>
    <w:unhideWhenUsed/>
    <w:rsid w:val="00B8673C"/>
    <w:rPr>
      <w:sz w:val="20"/>
      <w:szCs w:val="20"/>
    </w:rPr>
  </w:style>
  <w:style w:type="character" w:customStyle="1" w:styleId="KommentartextZchn">
    <w:name w:val="Kommentartext Zchn"/>
    <w:basedOn w:val="Absatz-Standardschriftart"/>
    <w:link w:val="Kommentartext"/>
    <w:uiPriority w:val="99"/>
    <w:rsid w:val="00B8673C"/>
    <w:rPr>
      <w:sz w:val="20"/>
      <w:szCs w:val="20"/>
    </w:rPr>
  </w:style>
  <w:style w:type="paragraph" w:styleId="Kommentarthema">
    <w:name w:val="annotation subject"/>
    <w:basedOn w:val="Kommentartext"/>
    <w:next w:val="Kommentartext"/>
    <w:link w:val="KommentarthemaZchn"/>
    <w:uiPriority w:val="99"/>
    <w:semiHidden/>
    <w:unhideWhenUsed/>
    <w:rsid w:val="00B8673C"/>
    <w:rPr>
      <w:b/>
      <w:bCs/>
    </w:rPr>
  </w:style>
  <w:style w:type="character" w:customStyle="1" w:styleId="KommentarthemaZchn">
    <w:name w:val="Kommentarthema Zchn"/>
    <w:basedOn w:val="KommentartextZchn"/>
    <w:link w:val="Kommentarthema"/>
    <w:uiPriority w:val="99"/>
    <w:semiHidden/>
    <w:rsid w:val="00B8673C"/>
    <w:rPr>
      <w:b/>
      <w:bCs/>
      <w:sz w:val="20"/>
      <w:szCs w:val="20"/>
    </w:rPr>
  </w:style>
  <w:style w:type="paragraph" w:styleId="berarbeitung">
    <w:name w:val="Revision"/>
    <w:hidden/>
    <w:uiPriority w:val="99"/>
    <w:semiHidden/>
    <w:rsid w:val="00C0090B"/>
  </w:style>
  <w:style w:type="character" w:styleId="NichtaufgelsteErwhnung">
    <w:name w:val="Unresolved Mention"/>
    <w:basedOn w:val="Absatz-Standardschriftart"/>
    <w:uiPriority w:val="99"/>
    <w:semiHidden/>
    <w:unhideWhenUsed/>
    <w:rsid w:val="000948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voferm.d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novoferm.d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heike.verbeek@novoferm.d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F4936-AA82-4358-AF60-F2053D3F1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551</Words>
  <Characters>3475</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4018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Novoferm</dc:creator>
  <cp:keywords/>
  <dc:description/>
  <cp:lastModifiedBy>Verbeek, Heike</cp:lastModifiedBy>
  <cp:revision>6</cp:revision>
  <cp:lastPrinted>2025-10-20T09:20:00Z</cp:lastPrinted>
  <dcterms:created xsi:type="dcterms:W3CDTF">2026-08-19T14:18:00Z</dcterms:created>
  <dcterms:modified xsi:type="dcterms:W3CDTF">2026-08-19T15:01:00Z</dcterms:modified>
  <cp:category/>
</cp:coreProperties>
</file>